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项目名称：消毒供应中心医用包布（第二次）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项目编号：BSRMYY-YNCG-2024-08002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3"/>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1.</w:t>
      </w:r>
      <w:r>
        <w:rPr>
          <w:rFonts w:hint="eastAsia" w:ascii="仿宋_GB2312" w:eastAsia="仿宋_GB2312" w:cs="宋体"/>
          <w:color w:val="auto"/>
          <w:sz w:val="32"/>
          <w:szCs w:val="32"/>
          <w:lang w:val="en-US" w:eastAsia="zh-CN"/>
        </w:rPr>
        <w:t>营业执照复印或扫描件（须圈出符合资质要求的经营范围和有效期，如医疗器械徐提供医疗器械销售资质）</w:t>
      </w:r>
      <w:r>
        <w:rPr>
          <w:rFonts w:hint="eastAsia" w:ascii="仿宋_GB2312" w:eastAsia="仿宋_GB2312" w:cs="宋体"/>
          <w:color w:val="auto"/>
          <w:sz w:val="32"/>
          <w:szCs w:val="32"/>
          <w:lang w:val="zh-CN" w:eastAsia="zh-CN"/>
        </w:rPr>
        <w:t>。</w:t>
      </w:r>
    </w:p>
    <w:p w14:paraId="690463A4">
      <w:pPr>
        <w:pStyle w:val="3"/>
        <w:ind w:left="0" w:leftChars="0" w:firstLine="640" w:firstLineChars="200"/>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项目情况介绍</w:t>
      </w:r>
      <w:r>
        <w:rPr>
          <w:rFonts w:hint="eastAsia" w:ascii="仿宋_GB2312" w:eastAsia="仿宋_GB2312" w:cs="宋体"/>
          <w:color w:val="auto"/>
          <w:sz w:val="32"/>
          <w:szCs w:val="32"/>
          <w:lang w:val="zh-CN" w:eastAsia="zh-CN"/>
        </w:rPr>
        <w:t>。</w:t>
      </w:r>
    </w:p>
    <w:p w14:paraId="2F2C23A5">
      <w:pPr>
        <w:pStyle w:val="3"/>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3.报价表</w:t>
      </w:r>
    </w:p>
    <w:p w14:paraId="43C523E5">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4.法人身份证明。</w:t>
      </w:r>
    </w:p>
    <w:p w14:paraId="61CD0941">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5.法人授权委托书。</w:t>
      </w:r>
    </w:p>
    <w:p w14:paraId="59F376B4">
      <w:pPr>
        <w:pStyle w:val="3"/>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14:paraId="03C33BB9">
      <w:pPr>
        <w:pStyle w:val="3"/>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7.其他可以证明投标人有能力完成本项目的佐证材料（如供应商及生产厂家资料等）。</w:t>
      </w:r>
    </w:p>
    <w:p w14:paraId="5C345A40">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8.投标产品相关资料（合格证、产品参数性能彩页、检验检测报告、如医疗器械需提供医疗器械注册证或备案证等）。</w:t>
      </w:r>
    </w:p>
    <w:p w14:paraId="290FB1CA">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9.质保及售后服务承诺。</w:t>
      </w:r>
    </w:p>
    <w:p w14:paraId="510F0D4B">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14:paraId="6BB1226A">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3C6BB92">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一、公司营业执照（须圈出符合资质要求的经营范围和有效期）</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二、项目基本情况            </w:t>
      </w:r>
      <w:r>
        <w:rPr>
          <w:rFonts w:hint="eastAsia" w:ascii="仿宋" w:hAnsi="仿宋" w:eastAsia="仿宋" w:cs="仿宋"/>
          <w:b/>
          <w:bCs/>
          <w:color w:val="auto"/>
          <w:sz w:val="36"/>
          <w:szCs w:val="24"/>
          <w:lang w:val="en-US" w:eastAsia="zh-CN"/>
        </w:rPr>
        <w:t xml:space="preserve">     </w:t>
      </w:r>
    </w:p>
    <w:p w14:paraId="7861E80C">
      <w:pPr>
        <w:pStyle w:val="17"/>
        <w:rPr>
          <w:rFonts w:hint="eastAsia"/>
          <w:lang w:val="en-US" w:eastAsia="zh-CN"/>
        </w:rPr>
      </w:pPr>
    </w:p>
    <w:tbl>
      <w:tblPr>
        <w:tblStyle w:val="11"/>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71"/>
        <w:gridCol w:w="5056"/>
        <w:gridCol w:w="829"/>
        <w:gridCol w:w="5"/>
        <w:gridCol w:w="1141"/>
        <w:gridCol w:w="1150"/>
        <w:gridCol w:w="775"/>
      </w:tblGrid>
      <w:tr w14:paraId="2C87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8"/>
            <w:tcBorders>
              <w:top w:val="single" w:color="auto" w:sz="4" w:space="0"/>
              <w:left w:val="single" w:color="auto" w:sz="4" w:space="0"/>
            </w:tcBorders>
            <w:vAlign w:val="center"/>
          </w:tcPr>
          <w:p w14:paraId="7D9440B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采购人需求</w:t>
            </w:r>
          </w:p>
        </w:tc>
      </w:tr>
      <w:tr w14:paraId="61D9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8"/>
            <w:tcBorders>
              <w:top w:val="single" w:color="auto" w:sz="4" w:space="0"/>
              <w:left w:val="single" w:color="auto" w:sz="4" w:space="0"/>
            </w:tcBorders>
            <w:vAlign w:val="center"/>
          </w:tcPr>
          <w:p w14:paraId="79907C7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14:paraId="69F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14:paraId="492B219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971" w:type="dxa"/>
            <w:tcBorders>
              <w:top w:val="single" w:color="auto" w:sz="4" w:space="0"/>
              <w:left w:val="single" w:color="auto" w:sz="4" w:space="0"/>
              <w:right w:val="single" w:color="auto" w:sz="4" w:space="0"/>
            </w:tcBorders>
            <w:vAlign w:val="center"/>
          </w:tcPr>
          <w:p w14:paraId="4E9DC8F3">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名称</w:t>
            </w:r>
          </w:p>
        </w:tc>
        <w:tc>
          <w:tcPr>
            <w:tcW w:w="5056" w:type="dxa"/>
            <w:vAlign w:val="center"/>
          </w:tcPr>
          <w:p w14:paraId="2EFEF45C">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829" w:type="dxa"/>
            <w:vAlign w:val="center"/>
          </w:tcPr>
          <w:p w14:paraId="740E7BC0">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规格</w:t>
            </w:r>
          </w:p>
        </w:tc>
        <w:tc>
          <w:tcPr>
            <w:tcW w:w="1146" w:type="dxa"/>
            <w:gridSpan w:val="2"/>
            <w:vAlign w:val="center"/>
          </w:tcPr>
          <w:p w14:paraId="0C7BE3BE">
            <w:pPr>
              <w:keepNext w:val="0"/>
              <w:keepLines w:val="0"/>
              <w:widowControl/>
              <w:suppressLineNumbers w:val="0"/>
              <w:spacing w:before="0" w:beforeAutospacing="0" w:after="0" w:afterAutospacing="0" w:line="360" w:lineRule="auto"/>
              <w:ind w:left="0" w:right="0"/>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预估年数量</w:t>
            </w:r>
          </w:p>
        </w:tc>
        <w:tc>
          <w:tcPr>
            <w:tcW w:w="1150" w:type="dxa"/>
            <w:vAlign w:val="center"/>
          </w:tcPr>
          <w:p w14:paraId="6EA7F1D2">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775" w:type="dxa"/>
            <w:vAlign w:val="center"/>
          </w:tcPr>
          <w:p w14:paraId="062DA5CC">
            <w:pPr>
              <w:keepNext w:val="0"/>
              <w:keepLines w:val="0"/>
              <w:widowControl/>
              <w:suppressLineNumbers w:val="0"/>
              <w:spacing w:before="0" w:beforeAutospacing="0" w:after="0" w:afterAutospacing="0" w:line="360" w:lineRule="auto"/>
              <w:ind w:left="0" w:right="0"/>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14:paraId="424C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64EB11FE">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971" w:type="dxa"/>
            <w:tcBorders>
              <w:top w:val="single" w:color="auto" w:sz="4" w:space="0"/>
              <w:left w:val="single" w:color="auto" w:sz="4" w:space="0"/>
              <w:bottom w:val="single" w:color="auto" w:sz="4" w:space="0"/>
              <w:right w:val="single" w:color="auto" w:sz="4" w:space="0"/>
            </w:tcBorders>
            <w:vAlign w:val="center"/>
          </w:tcPr>
          <w:p w14:paraId="6A02AB8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restart"/>
            <w:vAlign w:val="center"/>
          </w:tcPr>
          <w:p w14:paraId="7BC23132">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1本产品由非织造布剪裁、折叠或缝制而成。产品材质：无纺布或覆膜无纺布，由纺粘无纺布（S）和熔喷无纺布（M）复合。在材料不变和满足性能的情况下，特殊规格可以根据客户要求订制。</w:t>
            </w:r>
          </w:p>
          <w:p w14:paraId="5D57BEC6">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产品性能及技术参数（需提供第三方检测报告，含CMA和CNAS章）：医用包布材料应不脱色；医用包布材料的pH值应不小于5且不大于8；医用包布的湿态耐破度应不小于90kPa；医用包布的内在撕裂度沿机器方向应不小于750mN,横向应不小于1000mN；</w:t>
            </w:r>
            <w:r>
              <w:rPr>
                <w:rFonts w:hint="eastAsia" w:cs="宋体"/>
                <w:i w:val="0"/>
                <w:iCs w:val="0"/>
                <w:color w:val="000000"/>
                <w:kern w:val="0"/>
                <w:sz w:val="24"/>
                <w:szCs w:val="24"/>
                <w:u w:val="none"/>
                <w:lang w:val="en-US" w:eastAsia="zh-CN" w:bidi="ar"/>
              </w:rPr>
              <w:t>医用包布重量不低于</w:t>
            </w:r>
            <w:r>
              <w:rPr>
                <w:rFonts w:hint="eastAsia" w:ascii="宋体" w:hAnsi="宋体" w:eastAsia="宋体" w:cs="宋体"/>
                <w:i w:val="0"/>
                <w:iCs w:val="0"/>
                <w:color w:val="000000"/>
                <w:kern w:val="0"/>
                <w:sz w:val="24"/>
                <w:szCs w:val="24"/>
                <w:u w:val="none"/>
                <w:lang w:val="en-US" w:eastAsia="zh-CN" w:bidi="ar"/>
              </w:rPr>
              <w:t>50g/㎡</w:t>
            </w:r>
            <w:r>
              <w:rPr>
                <w:rFonts w:hint="eastAsia" w:cs="宋体"/>
                <w:i w:val="0"/>
                <w:iCs w:val="0"/>
                <w:color w:val="000000"/>
                <w:kern w:val="0"/>
                <w:sz w:val="24"/>
                <w:szCs w:val="24"/>
                <w:u w:val="none"/>
                <w:lang w:val="en-US" w:eastAsia="zh-CN" w:bidi="ar"/>
              </w:rPr>
              <w:t>；</w:t>
            </w:r>
            <w:bookmarkStart w:id="29" w:name="_GoBack"/>
            <w:bookmarkEnd w:id="29"/>
            <w:r>
              <w:rPr>
                <w:rFonts w:hint="eastAsia" w:ascii="宋体" w:hAnsi="宋体" w:eastAsia="宋体" w:cs="宋体"/>
                <w:i w:val="0"/>
                <w:iCs w:val="0"/>
                <w:color w:val="000000"/>
                <w:kern w:val="0"/>
                <w:sz w:val="24"/>
                <w:szCs w:val="24"/>
                <w:u w:val="none"/>
                <w:lang w:val="en-US" w:eastAsia="zh-CN" w:bidi="ar"/>
              </w:rPr>
              <w:t>医用包布的耐破度应不小于130kPa；医用包布的断裂伸长率沿机器方向应不小于70%,横向应不小于70%；医用包布的疏盐水性应不小于75min；医用包布湿态耐磨度应不小于90kPa；医用包布应有适宜的透气性，其透气率应大于等于350mm/s；医用包布的纵横向伸长率应均不小于70%；医用包布的顶破强度应不小于200N；医用包布的耐磨次数应不小于2000转；医用包布的微生物阻隔性芽孢截留率应不小于65%；医用包布的干态耐破度应不小于200kPa；医用包布的干态抗张强度和湿态抗张强度沿机器方向应不小于2.00kN/m，横向应不小于1kN/m；医用包布应适用于环氧乙烷灭菌、蒸汽灭菌、过氧化氢低温等离子灭菌和低温蒸汽甲醛灭菌。符合消毒技术规范2002版、YY/T 0698.2-2009《最终灭菌医疗器械包装材料 第2部分 灭菌包装材料 要求和试验方法》透气性材料微生物屏障试验。按中华人民共和国药典( 2000年版二部 附录 Ⅺ H )“无菌检查法” 测试，医用包布经环氧乙烷灭菌、蒸汽灭菌、过氧化氢低温等离子灭菌和低温蒸汽甲醛灭菌后产品的无菌有效期不小于180天；医用包布含多种颜色：蓝绿双色、蓝色、绿色、白色、粉色、紫色、蓝绿交叉叠放、白蓝交叉叠放、白绿交叉叠放。</w:t>
            </w:r>
          </w:p>
        </w:tc>
        <w:tc>
          <w:tcPr>
            <w:tcW w:w="829" w:type="dxa"/>
            <w:vAlign w:val="center"/>
          </w:tcPr>
          <w:p w14:paraId="53B6D9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单层50*50cm</w:t>
            </w:r>
          </w:p>
        </w:tc>
        <w:tc>
          <w:tcPr>
            <w:tcW w:w="1146" w:type="dxa"/>
            <w:gridSpan w:val="2"/>
            <w:vAlign w:val="center"/>
          </w:tcPr>
          <w:p w14:paraId="10CB0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6400片</w:t>
            </w:r>
          </w:p>
        </w:tc>
        <w:tc>
          <w:tcPr>
            <w:tcW w:w="1150" w:type="dxa"/>
            <w:vAlign w:val="center"/>
          </w:tcPr>
          <w:p w14:paraId="0077074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0.46</w:t>
            </w:r>
          </w:p>
        </w:tc>
        <w:tc>
          <w:tcPr>
            <w:tcW w:w="775" w:type="dxa"/>
            <w:vAlign w:val="center"/>
          </w:tcPr>
          <w:p w14:paraId="139CE5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rPr>
            </w:pPr>
          </w:p>
        </w:tc>
      </w:tr>
      <w:tr w14:paraId="6244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29F35BF8">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971" w:type="dxa"/>
            <w:tcBorders>
              <w:top w:val="single" w:color="auto" w:sz="4" w:space="0"/>
              <w:left w:val="single" w:color="auto" w:sz="4" w:space="0"/>
              <w:bottom w:val="single" w:color="auto" w:sz="4" w:space="0"/>
              <w:right w:val="single" w:color="auto" w:sz="4" w:space="0"/>
            </w:tcBorders>
            <w:vAlign w:val="center"/>
          </w:tcPr>
          <w:p w14:paraId="5054B58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51E443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p>
        </w:tc>
        <w:tc>
          <w:tcPr>
            <w:tcW w:w="829" w:type="dxa"/>
            <w:vAlign w:val="center"/>
          </w:tcPr>
          <w:p w14:paraId="56ABE7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单层60*60cm</w:t>
            </w:r>
          </w:p>
        </w:tc>
        <w:tc>
          <w:tcPr>
            <w:tcW w:w="1146" w:type="dxa"/>
            <w:gridSpan w:val="2"/>
            <w:vAlign w:val="center"/>
          </w:tcPr>
          <w:p w14:paraId="11AC2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137600片</w:t>
            </w:r>
          </w:p>
        </w:tc>
        <w:tc>
          <w:tcPr>
            <w:tcW w:w="1150" w:type="dxa"/>
            <w:vAlign w:val="center"/>
          </w:tcPr>
          <w:p w14:paraId="110D8B4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0.65</w:t>
            </w:r>
          </w:p>
        </w:tc>
        <w:tc>
          <w:tcPr>
            <w:tcW w:w="775" w:type="dxa"/>
            <w:vAlign w:val="center"/>
          </w:tcPr>
          <w:p w14:paraId="16CC9DC0">
            <w:pPr>
              <w:keepNext w:val="0"/>
              <w:keepLines w:val="0"/>
              <w:widowControl/>
              <w:suppressLineNumbers w:val="0"/>
              <w:spacing w:before="0" w:beforeAutospacing="0" w:after="0" w:afterAutospacing="0"/>
              <w:ind w:left="0" w:right="0"/>
              <w:jc w:val="center"/>
              <w:textAlignment w:val="center"/>
              <w:rPr>
                <w:rFonts w:hint="default" w:eastAsiaTheme="minorEastAsia"/>
                <w:sz w:val="32"/>
                <w:szCs w:val="32"/>
                <w:lang w:val="en-US" w:eastAsia="zh-CN"/>
              </w:rPr>
            </w:pPr>
          </w:p>
        </w:tc>
      </w:tr>
      <w:tr w14:paraId="6646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8577144">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971" w:type="dxa"/>
            <w:tcBorders>
              <w:top w:val="single" w:color="auto" w:sz="4" w:space="0"/>
              <w:left w:val="single" w:color="auto" w:sz="4" w:space="0"/>
              <w:bottom w:val="single" w:color="auto" w:sz="4" w:space="0"/>
              <w:right w:val="single" w:color="auto" w:sz="4" w:space="0"/>
            </w:tcBorders>
            <w:vAlign w:val="center"/>
          </w:tcPr>
          <w:p w14:paraId="59FA1CD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7013416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vAlign w:val="center"/>
          </w:tcPr>
          <w:p w14:paraId="6BADB1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单层80*80cm</w:t>
            </w:r>
          </w:p>
        </w:tc>
        <w:tc>
          <w:tcPr>
            <w:tcW w:w="1146" w:type="dxa"/>
            <w:gridSpan w:val="2"/>
            <w:vAlign w:val="center"/>
          </w:tcPr>
          <w:p w14:paraId="2BEAE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49600片</w:t>
            </w:r>
          </w:p>
        </w:tc>
        <w:tc>
          <w:tcPr>
            <w:tcW w:w="1150" w:type="dxa"/>
            <w:vAlign w:val="center"/>
          </w:tcPr>
          <w:p w14:paraId="57394A9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775" w:type="dxa"/>
            <w:vAlign w:val="center"/>
          </w:tcPr>
          <w:p w14:paraId="55CE5C1B">
            <w:pPr>
              <w:keepNext w:val="0"/>
              <w:keepLines w:val="0"/>
              <w:widowControl/>
              <w:suppressLineNumbers w:val="0"/>
              <w:spacing w:before="0" w:beforeAutospacing="0" w:after="0" w:afterAutospacing="0"/>
              <w:ind w:left="0" w:right="0"/>
              <w:jc w:val="center"/>
              <w:textAlignment w:val="center"/>
              <w:rPr>
                <w:rFonts w:hint="default"/>
                <w:sz w:val="32"/>
                <w:szCs w:val="32"/>
                <w:lang w:val="en-US"/>
              </w:rPr>
            </w:pPr>
          </w:p>
        </w:tc>
      </w:tr>
      <w:tr w14:paraId="5EB9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3067FDE6">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971" w:type="dxa"/>
            <w:tcBorders>
              <w:top w:val="single" w:color="auto" w:sz="4" w:space="0"/>
              <w:left w:val="single" w:color="auto" w:sz="4" w:space="0"/>
              <w:bottom w:val="single" w:color="auto" w:sz="4" w:space="0"/>
              <w:right w:val="single" w:color="auto" w:sz="4" w:space="0"/>
            </w:tcBorders>
            <w:vAlign w:val="center"/>
          </w:tcPr>
          <w:p w14:paraId="489ABEC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vAlign w:val="center"/>
          </w:tcPr>
          <w:p w14:paraId="66FA7F4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tcBorders>
              <w:bottom w:val="single" w:color="auto" w:sz="4" w:space="0"/>
            </w:tcBorders>
            <w:vAlign w:val="center"/>
          </w:tcPr>
          <w:p w14:paraId="70BE85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单层100*100cm</w:t>
            </w:r>
          </w:p>
        </w:tc>
        <w:tc>
          <w:tcPr>
            <w:tcW w:w="1146" w:type="dxa"/>
            <w:gridSpan w:val="2"/>
            <w:tcBorders>
              <w:bottom w:val="single" w:color="auto" w:sz="4" w:space="0"/>
            </w:tcBorders>
            <w:vAlign w:val="center"/>
          </w:tcPr>
          <w:p w14:paraId="29ADF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12800片</w:t>
            </w:r>
          </w:p>
        </w:tc>
        <w:tc>
          <w:tcPr>
            <w:tcW w:w="1150" w:type="dxa"/>
            <w:tcBorders>
              <w:bottom w:val="single" w:color="auto" w:sz="4" w:space="0"/>
            </w:tcBorders>
            <w:vAlign w:val="center"/>
          </w:tcPr>
          <w:p w14:paraId="3455EAF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1.73</w:t>
            </w:r>
          </w:p>
        </w:tc>
        <w:tc>
          <w:tcPr>
            <w:tcW w:w="775" w:type="dxa"/>
            <w:vAlign w:val="center"/>
          </w:tcPr>
          <w:p w14:paraId="6BD34332">
            <w:pPr>
              <w:keepNext w:val="0"/>
              <w:keepLines w:val="0"/>
              <w:widowControl/>
              <w:suppressLineNumbers w:val="0"/>
              <w:spacing w:before="0" w:beforeAutospacing="0" w:after="0" w:afterAutospacing="0"/>
              <w:ind w:left="0" w:right="0"/>
              <w:jc w:val="center"/>
              <w:textAlignment w:val="center"/>
              <w:rPr>
                <w:rFonts w:hint="eastAsia"/>
                <w:sz w:val="32"/>
                <w:szCs w:val="32"/>
              </w:rPr>
            </w:pPr>
          </w:p>
        </w:tc>
      </w:tr>
      <w:tr w14:paraId="4D9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03F91214">
            <w:pPr>
              <w:keepNext w:val="0"/>
              <w:keepLines w:val="0"/>
              <w:widowControl/>
              <w:suppressLineNumbers w:val="0"/>
              <w:spacing w:before="0" w:beforeAutospacing="0" w:after="0" w:afterAutospacing="0" w:line="360" w:lineRule="auto"/>
              <w:ind w:left="0" w:right="0"/>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971" w:type="dxa"/>
            <w:tcBorders>
              <w:top w:val="single" w:color="auto" w:sz="4" w:space="0"/>
              <w:left w:val="single" w:color="auto" w:sz="4" w:space="0"/>
              <w:bottom w:val="single" w:color="auto" w:sz="4" w:space="0"/>
              <w:right w:val="single" w:color="auto" w:sz="4" w:space="0"/>
            </w:tcBorders>
            <w:vAlign w:val="center"/>
          </w:tcPr>
          <w:p w14:paraId="5E00E61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医用包装无纺布</w:t>
            </w:r>
          </w:p>
        </w:tc>
        <w:tc>
          <w:tcPr>
            <w:tcW w:w="5056" w:type="dxa"/>
            <w:vMerge w:val="continue"/>
            <w:tcBorders>
              <w:bottom w:val="single" w:color="auto" w:sz="4" w:space="0"/>
            </w:tcBorders>
            <w:vAlign w:val="center"/>
          </w:tcPr>
          <w:p w14:paraId="26AABDE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p>
        </w:tc>
        <w:tc>
          <w:tcPr>
            <w:tcW w:w="829" w:type="dxa"/>
            <w:tcBorders>
              <w:top w:val="single" w:color="auto" w:sz="4" w:space="0"/>
              <w:left w:val="single" w:color="auto" w:sz="4" w:space="0"/>
              <w:bottom w:val="single" w:color="auto" w:sz="4" w:space="0"/>
              <w:right w:val="single" w:color="auto" w:sz="4" w:space="0"/>
            </w:tcBorders>
            <w:vAlign w:val="center"/>
          </w:tcPr>
          <w:p w14:paraId="5362D7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单层120*120cm</w:t>
            </w:r>
          </w:p>
        </w:tc>
        <w:tc>
          <w:tcPr>
            <w:tcW w:w="5" w:type="dxa"/>
            <w:tcBorders>
              <w:top w:val="single" w:color="auto" w:sz="4" w:space="0"/>
              <w:left w:val="single" w:color="auto" w:sz="4" w:space="0"/>
              <w:bottom w:val="single" w:color="auto" w:sz="4" w:space="0"/>
              <w:right w:val="single" w:color="auto" w:sz="4" w:space="0"/>
            </w:tcBorders>
            <w:vAlign w:val="center"/>
          </w:tcPr>
          <w:p w14:paraId="40197956">
            <w:pPr>
              <w:keepNext w:val="0"/>
              <w:keepLines w:val="0"/>
              <w:widowControl/>
              <w:suppressLineNumbers w:val="0"/>
              <w:spacing w:before="0" w:beforeAutospacing="0" w:after="0" w:afterAutospacing="0"/>
              <w:ind w:left="0" w:right="0"/>
              <w:jc w:val="center"/>
              <w:textAlignment w:val="center"/>
              <w:rPr>
                <w:rFonts w:hint="default"/>
              </w:rPr>
            </w:pPr>
          </w:p>
        </w:tc>
        <w:tc>
          <w:tcPr>
            <w:tcW w:w="1141" w:type="dxa"/>
            <w:tcBorders>
              <w:top w:val="single" w:color="auto" w:sz="4" w:space="0"/>
              <w:left w:val="single" w:color="auto" w:sz="4" w:space="0"/>
              <w:bottom w:val="single" w:color="auto" w:sz="4" w:space="0"/>
              <w:right w:val="single" w:color="auto" w:sz="4" w:space="0"/>
            </w:tcBorders>
            <w:vAlign w:val="center"/>
          </w:tcPr>
          <w:p w14:paraId="5858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3200片</w:t>
            </w:r>
          </w:p>
        </w:tc>
        <w:tc>
          <w:tcPr>
            <w:tcW w:w="1150" w:type="dxa"/>
            <w:tcBorders>
              <w:top w:val="single" w:color="auto" w:sz="4" w:space="0"/>
              <w:left w:val="single" w:color="auto" w:sz="4" w:space="0"/>
              <w:bottom w:val="single" w:color="auto" w:sz="4" w:space="0"/>
            </w:tcBorders>
            <w:vAlign w:val="center"/>
          </w:tcPr>
          <w:p w14:paraId="5CAF853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2.54</w:t>
            </w:r>
          </w:p>
        </w:tc>
        <w:tc>
          <w:tcPr>
            <w:tcW w:w="775" w:type="dxa"/>
            <w:vAlign w:val="center"/>
          </w:tcPr>
          <w:p w14:paraId="6BD58E9D">
            <w:pPr>
              <w:keepNext w:val="0"/>
              <w:keepLines w:val="0"/>
              <w:widowControl/>
              <w:suppressLineNumbers w:val="0"/>
              <w:spacing w:before="0" w:beforeAutospacing="0" w:after="0" w:afterAutospacing="0"/>
              <w:ind w:left="0" w:right="0"/>
              <w:jc w:val="center"/>
              <w:textAlignment w:val="center"/>
              <w:rPr>
                <w:rFonts w:hint="eastAsia"/>
                <w:sz w:val="32"/>
                <w:szCs w:val="32"/>
              </w:rPr>
            </w:pPr>
          </w:p>
        </w:tc>
      </w:tr>
      <w:tr w14:paraId="11A7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488" w:type="dxa"/>
            <w:gridSpan w:val="8"/>
            <w:tcBorders>
              <w:top w:val="single" w:color="auto" w:sz="4" w:space="0"/>
              <w:left w:val="single" w:color="auto" w:sz="4" w:space="0"/>
              <w:bottom w:val="single" w:color="auto" w:sz="4" w:space="0"/>
            </w:tcBorders>
            <w:vAlign w:val="center"/>
          </w:tcPr>
          <w:p w14:paraId="3AEAA6F1">
            <w:pPr>
              <w:keepNext w:val="0"/>
              <w:keepLines w:val="0"/>
              <w:widowControl/>
              <w:suppressLineNumbers w:val="0"/>
              <w:spacing w:before="0" w:beforeAutospacing="0" w:after="0" w:afterAutospacing="0"/>
              <w:ind w:left="0" w:right="0"/>
              <w:jc w:val="center"/>
              <w:textAlignment w:val="center"/>
              <w:rPr>
                <w:rFonts w:hint="default" w:eastAsiaTheme="minorEastAsia"/>
                <w:sz w:val="32"/>
                <w:szCs w:val="32"/>
                <w:lang w:val="en-US" w:eastAsia="zh-CN"/>
              </w:rPr>
            </w:pPr>
            <w:r>
              <w:rPr>
                <w:rFonts w:hint="eastAsia"/>
                <w:sz w:val="32"/>
                <w:szCs w:val="32"/>
                <w:lang w:val="en-US" w:eastAsia="zh-CN"/>
              </w:rPr>
              <w:t>注：预估用量不做采购承诺，按采购人通知用量送货后据实结算。</w:t>
            </w:r>
          </w:p>
        </w:tc>
      </w:tr>
      <w:tr w14:paraId="1E4F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8"/>
            <w:tcBorders>
              <w:top w:val="single" w:color="auto" w:sz="4" w:space="0"/>
              <w:left w:val="single" w:color="auto" w:sz="4" w:space="0"/>
              <w:bottom w:val="single" w:color="auto" w:sz="4" w:space="0"/>
            </w:tcBorders>
            <w:vAlign w:val="center"/>
          </w:tcPr>
          <w:p w14:paraId="074812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商务要求：（须完全响应）</w:t>
            </w:r>
          </w:p>
          <w:p w14:paraId="1E07808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14B67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各物资最高限价见上报，供应商报送折扣率方式进行报价。报价要求：本次报价为人民币包干价，包含：货款、运输装卸、验收入库、维护费（原厂配件费）、资料装订及邮寄费、税费、保险费、退换产品费用、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B4DD8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合同期3年，合同一年一签。合同期内在接到采购人送货通知后，1天内送到指定位置，如遇紧急送货通知在接通知后2小时内送达。</w:t>
            </w:r>
          </w:p>
          <w:p w14:paraId="7DF84F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3A51AB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合同签订前供应商提供样品，采购人须逐一核对产品样品是否满足采购人需求，不能通过外观核对的，采购人可以试用了解产品性能，性能满足采购人要求的签订采购合同，性能不能满足采购人要求的不得签订采购合同。成交供应商在接到成交通知后20日内与采购人签订采购合同和廉政购销协议。</w:t>
            </w:r>
          </w:p>
          <w:p w14:paraId="74A9B8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每季度结算一次，验收合格后支付100%，付款时供应商须提交全额发票、送货及验收记录。</w:t>
            </w:r>
          </w:p>
          <w:p w14:paraId="034574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70BC5B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（1）配送货物须为生产日期1年以内的全新产品，送货时剩余有效期不得低于2/3。质保期间发生破损、脱线、褪色等质量问题，供应商应免费更换。</w:t>
            </w:r>
          </w:p>
          <w:p w14:paraId="555F73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（2）在规定时间内完成交付，按照招投标文件要求进行验收。</w:t>
            </w:r>
          </w:p>
          <w:p w14:paraId="3ED1CD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C2810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（1）质保期不低于1年或产品出厂质保期以高者为准，产品有任何质量问题，供应商应30分钟提供电话响应，24小时内来院进行处理，未及时响应将承担违约责任。</w:t>
            </w:r>
          </w:p>
          <w:p w14:paraId="0A7C055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（2）质保期届满后，供应商应免费提供电话咨询等服务，协助采购人处理故障。</w:t>
            </w:r>
          </w:p>
          <w:p w14:paraId="037365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77EF5B4">
            <w:pPr>
              <w:pStyle w:val="3"/>
              <w:keepNext w:val="0"/>
              <w:keepLines w:val="0"/>
              <w:suppressLineNumbers w:val="0"/>
              <w:spacing w:before="0" w:beforeAutospacing="0" w:after="0" w:afterAutospacing="0" w:line="500" w:lineRule="exact"/>
              <w:ind w:left="0" w:right="0" w:firstLine="64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供应商提供的产品规格型号不能超出采购人需求（自行添加规格型号将增加采购人审查材料时限）。</w:t>
            </w:r>
          </w:p>
        </w:tc>
      </w:tr>
    </w:tbl>
    <w:p w14:paraId="17EA1954">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14:paraId="4F53372E">
      <w:pPr>
        <w:numPr>
          <w:ilvl w:val="0"/>
          <w:numId w:val="0"/>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三、报价表</w:t>
      </w:r>
    </w:p>
    <w:p w14:paraId="191ED7A7">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1．愿意按照询价采购文件中的一切要求，提供本项目的产品，报价为所有产品总折扣率：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u w:val="none"/>
          <w:lang w:val="en-US" w:eastAsia="zh-CN"/>
        </w:rPr>
        <w:t>（注：成交价=最高限价*折扣率）</w:t>
      </w:r>
    </w:p>
    <w:p w14:paraId="3785074E">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13266A40">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43E9CB5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四、法定代表人身份证明书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F4D0EF">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14:paraId="4CB54495">
      <w:pPr>
        <w:adjustRightInd w:val="0"/>
        <w:snapToGrid w:val="0"/>
        <w:spacing w:line="360" w:lineRule="auto"/>
        <w:ind w:firstLine="700" w:firstLineChars="250"/>
        <w:rPr>
          <w:rFonts w:ascii="仿宋_GB2312" w:eastAsia="仿宋_GB2312"/>
          <w:color w:val="auto"/>
          <w:sz w:val="28"/>
          <w:szCs w:val="28"/>
        </w:rPr>
      </w:pPr>
      <w:bookmarkStart w:id="0" w:name="_Toc166549448"/>
      <w:bookmarkStart w:id="1" w:name="_Toc128229916"/>
      <w:bookmarkStart w:id="2" w:name="_Toc166139912"/>
      <w:bookmarkStart w:id="3" w:name="_Toc128229745"/>
      <w:bookmarkStart w:id="4" w:name="_Toc175017342"/>
      <w:bookmarkStart w:id="5" w:name="_Toc156196470"/>
      <w:bookmarkStart w:id="6" w:name="_Toc156730450"/>
      <w:bookmarkStart w:id="7" w:name="_Toc173677397"/>
      <w:bookmarkStart w:id="8" w:name="_Toc156196559"/>
      <w:bookmarkStart w:id="9" w:name="_Toc128229302"/>
      <w:bookmarkStart w:id="10" w:name="_Toc156815770"/>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14:paraId="4DABED30">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75017343"/>
      <w:bookmarkStart w:id="12" w:name="_Toc166139913"/>
      <w:bookmarkStart w:id="13" w:name="_Toc156730451"/>
      <w:bookmarkStart w:id="14" w:name="_Toc156196471"/>
      <w:bookmarkStart w:id="15" w:name="_Toc156815771"/>
      <w:bookmarkStart w:id="16" w:name="_Toc166549449"/>
      <w:bookmarkStart w:id="17" w:name="_Toc173677398"/>
      <w:bookmarkStart w:id="18" w:name="_Toc128229917"/>
      <w:bookmarkStart w:id="19" w:name="_Toc128229746"/>
      <w:bookmarkStart w:id="20" w:name="_Toc128229303"/>
      <w:bookmarkStart w:id="21" w:name="_Toc156196560"/>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14:paraId="6FB744F8">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75017344"/>
      <w:bookmarkStart w:id="24" w:name="_Toc128014297"/>
      <w:bookmarkStart w:id="25" w:name="_Toc128229304"/>
      <w:bookmarkStart w:id="26" w:name="_Toc173677399"/>
      <w:bookmarkStart w:id="27" w:name="_Toc237057793"/>
      <w:bookmarkStart w:id="28" w:name="_Toc128229747"/>
    </w:p>
    <w:p w14:paraId="176EE9C2">
      <w:pPr>
        <w:pStyle w:val="2"/>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五、</w:t>
      </w:r>
      <w:r>
        <w:rPr>
          <w:rFonts w:hint="eastAsia"/>
          <w:color w:val="auto"/>
          <w:sz w:val="28"/>
          <w:szCs w:val="28"/>
        </w:rPr>
        <w:t>投标人法定代表人授权委托书（格式）</w:t>
      </w:r>
      <w:bookmarkEnd w:id="22"/>
      <w:bookmarkEnd w:id="23"/>
      <w:bookmarkEnd w:id="24"/>
      <w:bookmarkEnd w:id="25"/>
      <w:bookmarkEnd w:id="26"/>
      <w:bookmarkEnd w:id="27"/>
      <w:bookmarkEnd w:id="28"/>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 xml:space="preserve">  </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rPr>
          <w:rFonts w:ascii="仿宋" w:hAnsi="仿宋" w:eastAsia="仿宋"/>
          <w:b/>
          <w:snapToGrid w:val="0"/>
          <w:color w:val="auto"/>
          <w:kern w:val="0"/>
          <w:sz w:val="28"/>
          <w:szCs w:val="28"/>
        </w:rPr>
      </w:pPr>
      <w:r>
        <w:rPr>
          <w:rFonts w:ascii="仿宋" w:hAnsi="仿宋" w:eastAsia="仿宋"/>
          <w:b/>
          <w:snapToGrid w:val="0"/>
          <w:color w:val="auto"/>
          <w:kern w:val="0"/>
          <w:sz w:val="28"/>
          <w:szCs w:val="28"/>
        </w:rPr>
        <w:br w:type="page"/>
      </w:r>
    </w:p>
    <w:p w14:paraId="7D4D9BFE">
      <w:pPr>
        <w:pStyle w:val="3"/>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六、本项目其他采购人的业绩资料（如合同或发票）。</w:t>
      </w:r>
    </w:p>
    <w:p w14:paraId="08CAB4A2">
      <w:pPr>
        <w:pStyle w:val="3"/>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3376CF5B">
      <w:pPr>
        <w:pStyle w:val="3"/>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七、其他可以证明投标人有能力完成本项目的佐证材料（如供应商、生产厂家资料等）</w:t>
      </w:r>
    </w:p>
    <w:p w14:paraId="5F9D816F">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八、投标产品相关资料（</w:t>
      </w:r>
      <w:r>
        <w:rPr>
          <w:rFonts w:hint="eastAsia" w:ascii="仿宋_GB2312" w:eastAsia="仿宋_GB2312" w:cs="宋体"/>
          <w:b/>
          <w:bCs/>
          <w:color w:val="auto"/>
          <w:sz w:val="32"/>
          <w:szCs w:val="32"/>
          <w:lang w:val="en-US" w:eastAsia="zh-CN"/>
        </w:rPr>
        <w:t>合格证、产品参数性能彩页、检验检测报告、医疗器械需提供医疗器械注册证或备案证等</w:t>
      </w:r>
      <w:r>
        <w:rPr>
          <w:rFonts w:hint="eastAsia" w:ascii="仿宋_GB2312" w:eastAsia="仿宋_GB2312" w:cs="宋体"/>
          <w:color w:val="auto"/>
          <w:sz w:val="32"/>
          <w:szCs w:val="32"/>
          <w:lang w:val="en-US" w:eastAsia="zh-CN"/>
        </w:rPr>
        <w:t>）</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质保及售后服务承诺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十、投标廉政承诺书</w:t>
      </w:r>
    </w:p>
    <w:p w14:paraId="24D85696">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3"/>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3"/>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十一、密封档案袋格式要求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0DB37C8">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Sun-Identity-H">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E90BD3"/>
    <w:rsid w:val="0B575693"/>
    <w:rsid w:val="0C872834"/>
    <w:rsid w:val="0CE64C8D"/>
    <w:rsid w:val="0E5055E0"/>
    <w:rsid w:val="0FD01451"/>
    <w:rsid w:val="10144D62"/>
    <w:rsid w:val="122D0B62"/>
    <w:rsid w:val="1922346A"/>
    <w:rsid w:val="1AAE2C67"/>
    <w:rsid w:val="1AF86BE0"/>
    <w:rsid w:val="1B3306B6"/>
    <w:rsid w:val="1BDE0896"/>
    <w:rsid w:val="1CF00EFC"/>
    <w:rsid w:val="1D444728"/>
    <w:rsid w:val="21426D4A"/>
    <w:rsid w:val="236757CC"/>
    <w:rsid w:val="27CC2E58"/>
    <w:rsid w:val="2A023339"/>
    <w:rsid w:val="2C3529EE"/>
    <w:rsid w:val="2FC44243"/>
    <w:rsid w:val="31092EA8"/>
    <w:rsid w:val="33FB61AD"/>
    <w:rsid w:val="342C6BC9"/>
    <w:rsid w:val="376E6279"/>
    <w:rsid w:val="38A14340"/>
    <w:rsid w:val="3C99135D"/>
    <w:rsid w:val="3D8263F7"/>
    <w:rsid w:val="44C5770F"/>
    <w:rsid w:val="44EF71C4"/>
    <w:rsid w:val="475D7492"/>
    <w:rsid w:val="482D6FF9"/>
    <w:rsid w:val="496140CE"/>
    <w:rsid w:val="4AE139DB"/>
    <w:rsid w:val="4BDB0A24"/>
    <w:rsid w:val="4C31315D"/>
    <w:rsid w:val="4F6D75ED"/>
    <w:rsid w:val="51352B6B"/>
    <w:rsid w:val="516216C2"/>
    <w:rsid w:val="53A17F68"/>
    <w:rsid w:val="53DB6C22"/>
    <w:rsid w:val="5A9405FE"/>
    <w:rsid w:val="5E932E93"/>
    <w:rsid w:val="5FA4498B"/>
    <w:rsid w:val="61130716"/>
    <w:rsid w:val="61143219"/>
    <w:rsid w:val="61707CCC"/>
    <w:rsid w:val="626B6216"/>
    <w:rsid w:val="650129F1"/>
    <w:rsid w:val="67CF5844"/>
    <w:rsid w:val="69D01878"/>
    <w:rsid w:val="6A1F4430"/>
    <w:rsid w:val="6DD05A39"/>
    <w:rsid w:val="6DD62748"/>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next w:val="10"/>
    <w:qFormat/>
    <w:uiPriority w:val="0"/>
    <w:pPr>
      <w:spacing w:line="360" w:lineRule="auto"/>
      <w:ind w:firstLine="420"/>
    </w:pPr>
    <w:rPr>
      <w:rFonts w:ascii="宋体" w:hAnsi="宋体"/>
      <w:sz w:val="24"/>
    </w:rPr>
  </w:style>
  <w:style w:type="paragraph" w:styleId="10">
    <w:name w:val="Body Text First Indent 2"/>
    <w:basedOn w:val="4"/>
    <w:qFormat/>
    <w:uiPriority w:val="0"/>
    <w:pPr>
      <w:spacing w:after="120" w:afterLines="0" w:line="240" w:lineRule="auto"/>
      <w:ind w:left="420" w:leftChars="200"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3"/>
    <w:qFormat/>
    <w:uiPriority w:val="0"/>
    <w:rPr>
      <w:rFonts w:ascii="楷体" w:hAnsi="楷体" w:eastAsia="楷体" w:cs="楷体"/>
      <w:color w:val="000000"/>
      <w:sz w:val="22"/>
      <w:szCs w:val="22"/>
      <w:u w:val="none"/>
      <w:vertAlign w:val="superscript"/>
    </w:rPr>
  </w:style>
  <w:style w:type="character" w:customStyle="1" w:styleId="19">
    <w:name w:val="font21"/>
    <w:basedOn w:val="13"/>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 w:type="paragraph" w:customStyle="1" w:styleId="23">
    <w:name w:val="Body text|1"/>
    <w:basedOn w:val="1"/>
    <w:qFormat/>
    <w:uiPriority w:val="0"/>
    <w:pPr>
      <w:spacing w:after="180"/>
      <w:jc w:val="left"/>
    </w:pPr>
    <w:rPr>
      <w:rFonts w:ascii="宋体" w:hAnsi="宋体" w:eastAsia="宋体" w:cs="宋体"/>
      <w:sz w:val="18"/>
      <w:szCs w:val="18"/>
      <w:lang w:val="zh-TW" w:eastAsia="zh-TW" w:bidi="zh-TW"/>
    </w:rPr>
  </w:style>
  <w:style w:type="character" w:customStyle="1" w:styleId="24">
    <w:name w:val="fontstyle01"/>
    <w:basedOn w:val="13"/>
    <w:autoRedefine/>
    <w:qFormat/>
    <w:uiPriority w:val="0"/>
    <w:rPr>
      <w:rFonts w:ascii="SimSun-Identity-H" w:hAnsi="SimSun-Identity-H" w:eastAsia="SimSun-Identity-H" w:cs="SimSun-Identity-H"/>
      <w:color w:val="014D95"/>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4789</Words>
  <Characters>5020</Characters>
  <Lines>0</Lines>
  <Paragraphs>0</Paragraphs>
  <TotalTime>14</TotalTime>
  <ScaleCrop>false</ScaleCrop>
  <LinksUpToDate>false</LinksUpToDate>
  <CharactersWithSpaces>5536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2024-08-26T01:37:00Z</cp:lastPrinted>
  <dcterms:modified xsi:type="dcterms:W3CDTF">2024-08-27T09:44:50Z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319E6D145AC340CCB8541A2DBC8F4FC6_13</vt:lpwstr>
  </property>
</Properties>
</file>